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AEDB" w14:textId="1A785F0D" w:rsidR="006938AC" w:rsidRPr="006938AC" w:rsidRDefault="006938AC" w:rsidP="00693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AC">
        <w:rPr>
          <w:rFonts w:ascii="Times New Roman" w:hAnsi="Times New Roman" w:cs="Times New Roman"/>
          <w:b/>
          <w:sz w:val="28"/>
          <w:szCs w:val="28"/>
        </w:rPr>
        <w:t>Тема ОЦІНЮВАННЯ ЕФЕКТИВНОСТІ СОЦІАЛЬНОЇ ВІДПОВІДАЛЬНОСТІ</w:t>
      </w:r>
    </w:p>
    <w:p w14:paraId="38E6EA3D" w14:textId="77777777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278D2" w14:textId="77777777" w:rsidR="006938AC" w:rsidRPr="006938AC" w:rsidRDefault="006938AC" w:rsidP="00693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A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7EB46D6F" w14:textId="77777777" w:rsid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9.1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50878" w14:textId="3B31C08B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9.2 Методики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4E94A3" w14:textId="77777777" w:rsid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5A2A9" w14:textId="35C7C147" w:rsidR="006938AC" w:rsidRPr="006938AC" w:rsidRDefault="006938AC" w:rsidP="00693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38A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6938AC">
        <w:rPr>
          <w:rFonts w:ascii="Times New Roman" w:hAnsi="Times New Roman" w:cs="Times New Roman"/>
          <w:b/>
          <w:sz w:val="28"/>
          <w:szCs w:val="28"/>
        </w:rPr>
        <w:t xml:space="preserve"> для практичного </w:t>
      </w:r>
      <w:proofErr w:type="spellStart"/>
      <w:r w:rsidRPr="006938AC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693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1E1F24" w14:textId="77777777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D515D" w14:textId="77777777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8A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6938A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корпоративних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крупної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закордонної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студента) </w:t>
      </w:r>
    </w:p>
    <w:p w14:paraId="5BD1B5DC" w14:textId="77777777" w:rsid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F2A551" w14:textId="6AD72C77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8A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6938A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індекси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табл. 9.1.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підприє</w:t>
      </w:r>
      <w:bookmarkStart w:id="0" w:name="_GoBack"/>
      <w:bookmarkEnd w:id="0"/>
      <w:r w:rsidRPr="006938AC">
        <w:rPr>
          <w:rFonts w:ascii="Times New Roman" w:hAnsi="Times New Roman" w:cs="Times New Roman"/>
          <w:sz w:val="28"/>
          <w:szCs w:val="28"/>
        </w:rPr>
        <w:t>мстві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занести в табл. 9.1. </w:t>
      </w:r>
    </w:p>
    <w:p w14:paraId="2DBCDE15" w14:textId="77777777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0944F" w14:textId="77777777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9.1 –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38A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 2011</w:t>
      </w:r>
      <w:proofErr w:type="gramEnd"/>
      <w:r w:rsidRPr="006938AC">
        <w:rPr>
          <w:rFonts w:ascii="Times New Roman" w:hAnsi="Times New Roman" w:cs="Times New Roman"/>
          <w:sz w:val="28"/>
          <w:szCs w:val="28"/>
        </w:rPr>
        <w:t xml:space="preserve">  2013 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Темпи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, % 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виділених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доброчинність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, тис.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 25  27  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, тис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 288  320  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свят, тис.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 150  160  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вакцинацію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, тис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 3,5  4,5  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, тис.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 40  45  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 48  52  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валових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продаж, тис.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 4 257,6  5 469,8  </w:t>
      </w:r>
    </w:p>
    <w:p w14:paraId="48667BE2" w14:textId="77777777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 Величина балансового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, тис. </w:t>
      </w:r>
      <w:proofErr w:type="spellStart"/>
      <w:proofErr w:type="gramStart"/>
      <w:r w:rsidRPr="006938A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 538</w:t>
      </w:r>
      <w:proofErr w:type="gramEnd"/>
      <w:r w:rsidRPr="006938AC">
        <w:rPr>
          <w:rFonts w:ascii="Times New Roman" w:hAnsi="Times New Roman" w:cs="Times New Roman"/>
          <w:sz w:val="28"/>
          <w:szCs w:val="28"/>
        </w:rPr>
        <w:t xml:space="preserve">,7  846,2   Величина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на одного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валових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продаж, %    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Питома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вага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у балансовому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, %     </w:t>
      </w:r>
    </w:p>
    <w:p w14:paraId="1EAB5722" w14:textId="77777777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A7883" w14:textId="77777777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8A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6938A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СВБ на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будівельному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студента) за методикою,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наведена в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додатках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А) та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42E062B" w14:textId="77777777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F6B86" w14:textId="77777777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8AC">
        <w:rPr>
          <w:rFonts w:ascii="Times New Roman" w:hAnsi="Times New Roman" w:cs="Times New Roman"/>
          <w:b/>
          <w:sz w:val="28"/>
          <w:szCs w:val="28"/>
        </w:rPr>
        <w:t>Тестові</w:t>
      </w:r>
      <w:proofErr w:type="spellEnd"/>
      <w:r w:rsidRPr="006938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КСВ: а)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кінцевими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lastRenderedPageBreak/>
        <w:t>розвиток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8BCCD99" w14:textId="77777777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818DC" w14:textId="77777777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КСВ є: а)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компанію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в ЗМІ в)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организациї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C9822" w14:textId="77777777" w:rsid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E972A7" w14:textId="173A90AA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Вимір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КСВ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фахівцям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виконавцям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замовникам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керівництву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експертам-аналітикам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03F1F" w14:textId="77777777" w:rsidR="006938AC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2428E" w14:textId="77777777" w:rsidR="006938AC" w:rsidRPr="006938AC" w:rsidRDefault="006938AC" w:rsidP="00693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38AC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6938A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6938AC">
        <w:rPr>
          <w:rFonts w:ascii="Times New Roman" w:hAnsi="Times New Roman" w:cs="Times New Roman"/>
          <w:b/>
          <w:sz w:val="28"/>
          <w:szCs w:val="28"/>
        </w:rPr>
        <w:t>самостійного</w:t>
      </w:r>
      <w:proofErr w:type="spellEnd"/>
      <w:r w:rsidRPr="006938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6938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6938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b/>
          <w:sz w:val="28"/>
          <w:szCs w:val="28"/>
        </w:rPr>
        <w:t>доповідей</w:t>
      </w:r>
      <w:proofErr w:type="spellEnd"/>
      <w:r w:rsidRPr="00693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5AABBB" w14:textId="77777777" w:rsid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 1 Корпоративна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AB7B627" w14:textId="77777777" w:rsid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інвестування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BD73A4C" w14:textId="77777777" w:rsid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корпорацій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0D0F377" w14:textId="77777777" w:rsid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інвестування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0B08FC" w14:textId="49648862" w:rsid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(ROI).  </w:t>
      </w:r>
    </w:p>
    <w:p w14:paraId="65DEB6A4" w14:textId="77777777" w:rsid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Інтегрована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система аудиту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корпоративної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(CRA)  </w:t>
      </w:r>
    </w:p>
    <w:p w14:paraId="3DA499EA" w14:textId="77777777" w:rsid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економетричного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B4BB074" w14:textId="77777777" w:rsid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8 Бенчмаркинг в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892A3D7" w14:textId="6EB18517" w:rsidR="00674D05" w:rsidRPr="006938AC" w:rsidRDefault="006938AC" w:rsidP="0069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A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Індикатори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корпоративної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A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938AC">
        <w:rPr>
          <w:rFonts w:ascii="Times New Roman" w:hAnsi="Times New Roman" w:cs="Times New Roman"/>
          <w:sz w:val="28"/>
          <w:szCs w:val="28"/>
        </w:rPr>
        <w:t>.</w:t>
      </w:r>
    </w:p>
    <w:sectPr w:rsidR="00674D05" w:rsidRPr="0069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F3"/>
    <w:rsid w:val="00674D05"/>
    <w:rsid w:val="006938AC"/>
    <w:rsid w:val="00A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BDD2"/>
  <w15:chartTrackingRefBased/>
  <w15:docId w15:val="{9F00BC09-5ED2-4312-AA18-3EE7F600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Blagoy</dc:creator>
  <cp:keywords/>
  <dc:description/>
  <cp:lastModifiedBy>Vitaliy Blagoy</cp:lastModifiedBy>
  <cp:revision>2</cp:revision>
  <dcterms:created xsi:type="dcterms:W3CDTF">2020-05-10T21:21:00Z</dcterms:created>
  <dcterms:modified xsi:type="dcterms:W3CDTF">2020-05-10T21:24:00Z</dcterms:modified>
</cp:coreProperties>
</file>